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00" w:lineRule="auto"/>
        <w:contextualSpacing w:val="0"/>
        <w:rPr>
          <w:rFonts w:ascii="Liberation Serif" w:cs="Liberation Serif" w:eastAsia="Liberation Serif" w:hAnsi="Liberation Serif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2546985</wp:posOffset>
            </wp:positionH>
            <wp:positionV relativeFrom="paragraph">
              <wp:posOffset>0</wp:posOffset>
            </wp:positionV>
            <wp:extent cx="798195" cy="919480"/>
            <wp:effectExtent b="0" l="0" r="0" t="0"/>
            <wp:wrapNone/>
            <wp:docPr id="2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98195" cy="9194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Style w:val="Heading2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0" w:before="0" w:line="360" w:lineRule="auto"/>
        <w:ind w:left="720" w:firstLine="0"/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0" w:before="0" w:line="360" w:lineRule="auto"/>
        <w:ind w:left="720" w:firstLine="0"/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UNIVERSIDADE FEDERAL RURAL DE PERNAMBUCO</w:t>
      </w:r>
    </w:p>
    <w:p w:rsidR="00000000" w:rsidDel="00000000" w:rsidP="00000000" w:rsidRDefault="00000000" w:rsidRPr="00000000">
      <w:pPr>
        <w:pStyle w:val="Heading2"/>
        <w:keepNext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0" w:before="0" w:line="360" w:lineRule="auto"/>
        <w:ind w:left="720" w:firstLine="0"/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PRÓ-REITORIA DE PESQUISA E PÓS-GRADUAÇÃO</w:t>
      </w:r>
    </w:p>
    <w:p w:rsidR="00000000" w:rsidDel="00000000" w:rsidP="00000000" w:rsidRDefault="00000000" w:rsidRPr="00000000">
      <w:pPr>
        <w:pStyle w:val="Heading1"/>
        <w:keepNext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0" w:before="0" w:line="360" w:lineRule="auto"/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nz1j20yj85kg" w:id="0"/>
      <w:bookmarkEnd w:id="0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PROGRAMA INSTITUCIONAL DE BOLSAS DE INICIAÇÃO CIENTÍFICA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contextualSpacing w:val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Projeto: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contextualSpacing w:val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Alfabetização e letramentos digitais - desenvolvimento de software aplicativo para plataforma web para alfabetização na EJA.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contextualSpacing w:val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Site: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hyperlink r:id="rId7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http://luzdosaber.seduc.ce.gov.br/eja/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contextualSpacing w:val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29" w:lineRule="auto"/>
        <w:ind w:left="0" w:right="0" w:firstLine="30"/>
        <w:contextualSpacing w:val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7"/>
          <w:szCs w:val="27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7"/>
          <w:szCs w:val="27"/>
          <w:u w:val="none"/>
          <w:rtl w:val="0"/>
        </w:rPr>
        <w:t xml:space="preserve">Luz do Saber</w:t>
      </w:r>
    </w:p>
    <w:p w:rsidR="00000000" w:rsidDel="00000000" w:rsidP="00000000" w:rsidRDefault="00000000" w:rsidRPr="00000000">
      <w:pPr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20" w:before="220" w:line="429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rtl w:val="0"/>
        </w:rPr>
        <w:t xml:space="preserve">O Luz do Saber é um recurso didático que tem por objetivo contribuir para a alfabetização de jovens e adultos, além de promover a inserção na cultura digital. É um software de autoria embasado primordialmente, na teoria do educador Paulo Freire. Considera também algumas contribuições de Emilia Ferreiro e Ana Teberosky acerca do processo de aquisição do código linguístico. </w:t>
      </w:r>
    </w:p>
    <w:p w:rsidR="00000000" w:rsidDel="00000000" w:rsidP="00000000" w:rsidRDefault="00000000" w:rsidRPr="00000000">
      <w:pPr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20" w:before="220" w:line="429" w:lineRule="auto"/>
        <w:ind w:left="0" w:right="0" w:firstLine="0"/>
        <w:contextualSpacing w:val="0"/>
        <w:jc w:val="center"/>
        <w:rPr>
          <w:rFonts w:ascii="Liberation Serif" w:cs="Liberation Serif" w:eastAsia="Liberation Serif" w:hAnsi="Liberation Serif"/>
          <w:b w:val="0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rtl w:val="0"/>
        </w:rPr>
        <w:t xml:space="preserve">Figura 1: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rtl w:val="0"/>
        </w:rPr>
        <w:t xml:space="preserve"> Tela Inicial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margin">
              <wp:posOffset>0</wp:posOffset>
            </wp:positionH>
            <wp:positionV relativeFrom="paragraph">
              <wp:posOffset>635</wp:posOffset>
            </wp:positionV>
            <wp:extent cx="6120130" cy="2858770"/>
            <wp:effectExtent b="0" l="0" r="0" t="0"/>
            <wp:wrapSquare wrapText="bothSides" distB="0" distT="0" distL="0" distR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587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20" w:before="220" w:line="429" w:lineRule="auto"/>
        <w:ind w:left="0" w:right="0" w:firstLine="0"/>
        <w:contextualSpacing w:val="0"/>
        <w:jc w:val="both"/>
        <w:rPr>
          <w:rFonts w:ascii="Liberation Serif" w:cs="Liberation Serif" w:eastAsia="Liberation Serif" w:hAnsi="Liberation Serif"/>
          <w:b w:val="0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rtl w:val="0"/>
        </w:rPr>
        <w:t xml:space="preserve">O acesso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às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rtl w:val="0"/>
        </w:rPr>
        <w:t xml:space="preserve"> atividade pode ser feito sem a necessidade de um cadastro, podendo o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usuário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rtl w:val="0"/>
        </w:rPr>
        <w:t xml:space="preserve"> apenas informar seu nome, mas também exista possibilidade efetuar um cadastro de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usuário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para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rtl w:val="0"/>
        </w:rPr>
        <w:t xml:space="preserve"> que fique registrado as atividades.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20" w:before="220" w:line="429" w:lineRule="auto"/>
        <w:ind w:left="0" w:right="0" w:firstLine="0"/>
        <w:contextualSpacing w:val="0"/>
        <w:jc w:val="center"/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0"/>
          <w:szCs w:val="20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rtl w:val="0"/>
        </w:rPr>
        <w:t xml:space="preserve">Figura 2: Tela de acesso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margin">
              <wp:posOffset>57150</wp:posOffset>
            </wp:positionH>
            <wp:positionV relativeFrom="paragraph">
              <wp:posOffset>337185</wp:posOffset>
            </wp:positionV>
            <wp:extent cx="6124575" cy="2958465"/>
            <wp:effectExtent b="0" l="0" r="0" t="0"/>
            <wp:wrapSquare wrapText="bothSides" distB="0" distT="0" distL="0" distR="0"/>
            <wp:docPr id="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 b="0" l="0" r="0" t="13961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29584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margin">
                  <wp:posOffset>203200</wp:posOffset>
                </wp:positionH>
                <wp:positionV relativeFrom="paragraph">
                  <wp:posOffset>2324100</wp:posOffset>
                </wp:positionV>
                <wp:extent cx="3048000" cy="749300"/>
                <wp:effectExtent b="0" l="0" r="0" t="0"/>
                <wp:wrapNone/>
                <wp:docPr id="1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48000" cy="7493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margin">
                  <wp:posOffset>203200</wp:posOffset>
                </wp:positionH>
                <wp:positionV relativeFrom="paragraph">
                  <wp:posOffset>2324100</wp:posOffset>
                </wp:positionV>
                <wp:extent cx="3048000" cy="749300"/>
                <wp:effectExtent b="0" l="0" r="0" t="0"/>
                <wp:wrapNone/>
                <wp:docPr id="1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48000" cy="7493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20" w:before="220" w:line="429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rtl w:val="0"/>
        </w:rPr>
        <w:t xml:space="preserve">Atualmente, o mesmo disponibiliza cinco módulos: “Começar”, “Ler”, "Escrever", "Karaokê" e o "Professor". O primeiro é composto por 10 atividades que visam a estimular através de jogos, o conhecimento dos fonemas e grafemas que compõem o nome do aluno e, paralelamente, desenvolver as competências necessárias ao uso do mouse e do teclado.</w:t>
      </w:r>
    </w:p>
    <w:p w:rsidR="00000000" w:rsidDel="00000000" w:rsidP="00000000" w:rsidRDefault="00000000" w:rsidRPr="00000000">
      <w:pPr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20" w:before="220" w:line="429" w:lineRule="auto"/>
        <w:ind w:left="0" w:right="0" w:firstLine="0"/>
        <w:contextualSpacing w:val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rtl w:val="0"/>
        </w:rPr>
        <w:t xml:space="preserve">Figura 3: Tela  de escolha de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módulo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margin">
              <wp:posOffset>0</wp:posOffset>
            </wp:positionH>
            <wp:positionV relativeFrom="paragraph">
              <wp:posOffset>527685</wp:posOffset>
            </wp:positionV>
            <wp:extent cx="6124575" cy="2910840"/>
            <wp:effectExtent b="0" l="0" r="0" t="0"/>
            <wp:wrapSquare wrapText="bothSides" distB="0" distT="0" distL="0" distR="0"/>
            <wp:docPr id="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 b="0" l="0" r="0" t="15346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29108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20" w:before="220" w:line="429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rtl w:val="0"/>
        </w:rPr>
        <w:t xml:space="preserve">O módulo “Ler” pode ser autorado. Isto significa que o professor pode criar as suas atividades adaptadas ao contexto do aluno.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20" w:before="220" w:line="429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Apresentar a sequencia do LER em 4 tópicos (anotado no papel)</w:t>
      </w:r>
    </w:p>
    <w:p w:rsidR="00000000" w:rsidDel="00000000" w:rsidP="00000000" w:rsidRDefault="00000000" w:rsidRPr="00000000">
      <w:pPr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20" w:before="220" w:line="429" w:lineRule="auto"/>
        <w:ind w:left="0" w:right="0" w:firstLine="0"/>
        <w:contextualSpacing w:val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rtl w:val="0"/>
        </w:rPr>
        <w:t xml:space="preserve">Figura 4: Módulo Ler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margin">
              <wp:posOffset>0</wp:posOffset>
            </wp:positionH>
            <wp:positionV relativeFrom="paragraph">
              <wp:posOffset>499110</wp:posOffset>
            </wp:positionV>
            <wp:extent cx="6124575" cy="2939415"/>
            <wp:effectExtent b="0" l="0" r="0" t="0"/>
            <wp:wrapSquare wrapText="bothSides" distB="0" distT="0" distL="0" distR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14515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29394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20" w:before="220" w:line="429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rtl w:val="0"/>
        </w:rPr>
        <w:t xml:space="preserve">Existem atualmente 32 atividades estruturais (modelos), nas quais o aluno pode desenvolver de modo lúdico, as competências necessárias para aprendizagem da leitura e escrita.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20" w:before="220" w:line="429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No módulo começar o aluno tem três submódulos que podem ser escolhidos, onde será aplicado conteúdos baseados no tema principal do módulo. No primeiro submódulo de começar é dada uma noção básica do que é um computador, no segundo submódulo é aplicado atividades que dão uma noção básica do uso dos componentes do computador, no terceiro não está desenvolvida. Os tres módulos estão listado na ficugra   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margin">
              <wp:posOffset>0</wp:posOffset>
            </wp:positionH>
            <wp:positionV relativeFrom="paragraph">
              <wp:posOffset>527685</wp:posOffset>
            </wp:positionV>
            <wp:extent cx="6124575" cy="2910840"/>
            <wp:effectExtent b="0" l="0" r="0" t="0"/>
            <wp:wrapSquare wrapText="bothSides" distB="0" distT="0" distL="0" distR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15346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29108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20" w:before="220" w:line="429" w:lineRule="auto"/>
        <w:ind w:left="0" w:right="0" w:firstLine="0"/>
        <w:contextualSpacing w:val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rtl w:val="0"/>
        </w:rPr>
        <w:t xml:space="preserve">Figura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rtl w:val="0"/>
        </w:rPr>
        <w:t xml:space="preserve">: Módulo Começar</w:t>
      </w:r>
    </w:p>
    <w:p w:rsidR="00000000" w:rsidDel="00000000" w:rsidP="00000000" w:rsidRDefault="00000000" w:rsidRPr="00000000">
      <w:pPr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20" w:before="220" w:line="429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 módulo Começar tem 3 blocos de conteúdos:</w:t>
      </w:r>
    </w:p>
    <w:p w:rsidR="00000000" w:rsidDel="00000000" w:rsidP="00000000" w:rsidRDefault="00000000" w:rsidRPr="00000000">
      <w:pPr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20" w:before="220" w:line="429" w:lineRule="auto"/>
        <w:ind w:left="720" w:right="0" w:hanging="360"/>
        <w:contextualSpacing w:val="1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cita 1</w:t>
      </w:r>
    </w:p>
    <w:p w:rsidR="00000000" w:rsidDel="00000000" w:rsidP="00000000" w:rsidRDefault="00000000" w:rsidRPr="00000000">
      <w:pPr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20" w:before="220" w:line="429" w:lineRule="auto"/>
        <w:ind w:left="720" w:right="0" w:hanging="360"/>
        <w:contextualSpacing w:val="1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cita 2</w:t>
      </w:r>
    </w:p>
    <w:p w:rsidR="00000000" w:rsidDel="00000000" w:rsidP="00000000" w:rsidRDefault="00000000" w:rsidRPr="00000000">
      <w:pPr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20" w:before="220" w:line="429" w:lineRule="auto"/>
        <w:ind w:left="720" w:right="0" w:hanging="360"/>
        <w:contextualSpacing w:val="1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cita 3</w:t>
      </w:r>
    </w:p>
    <w:p w:rsidR="00000000" w:rsidDel="00000000" w:rsidP="00000000" w:rsidRDefault="00000000" w:rsidRPr="00000000">
      <w:pPr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20" w:before="220" w:line="429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20" w:before="220" w:line="429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O que é o Computador</w:t>
      </w:r>
    </w:p>
    <w:p w:rsidR="00000000" w:rsidDel="00000000" w:rsidP="00000000" w:rsidRDefault="00000000" w:rsidRPr="00000000">
      <w:pPr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20" w:before="220" w:line="429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Trazer imagem</w:t>
      </w:r>
    </w:p>
    <w:p w:rsidR="00000000" w:rsidDel="00000000" w:rsidP="00000000" w:rsidRDefault="00000000" w:rsidRPr="00000000">
      <w:pPr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20" w:before="220" w:line="429" w:lineRule="auto"/>
        <w:ind w:left="0" w:right="0" w:firstLine="0"/>
        <w:contextualSpacing w:val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rtl w:val="0"/>
        </w:rPr>
        <w:t xml:space="preserve">Figura 7: Módulo Escrever</w:t>
      </w:r>
    </w:p>
    <w:p w:rsidR="00000000" w:rsidDel="00000000" w:rsidP="00000000" w:rsidRDefault="00000000" w:rsidRPr="00000000">
      <w:pPr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20" w:before="220" w:line="429" w:lineRule="auto"/>
        <w:ind w:left="0" w:right="0" w:firstLine="0"/>
        <w:contextualSpacing w:val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rtl w:val="0"/>
        </w:rPr>
        <w:t xml:space="preserve">Figura 8: Módulo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Karaokê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margin">
              <wp:posOffset>0</wp:posOffset>
            </wp:positionH>
            <wp:positionV relativeFrom="paragraph">
              <wp:posOffset>57150</wp:posOffset>
            </wp:positionV>
            <wp:extent cx="6124575" cy="2910840"/>
            <wp:effectExtent b="0" l="0" r="0" t="0"/>
            <wp:wrapSquare wrapText="bothSides" distB="0" distT="0" distL="0" distR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-1461" l="0" r="0" t="1461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29108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margin">
              <wp:posOffset>0</wp:posOffset>
            </wp:positionH>
            <wp:positionV relativeFrom="paragraph">
              <wp:posOffset>635</wp:posOffset>
            </wp:positionV>
            <wp:extent cx="6120130" cy="3440430"/>
            <wp:effectExtent b="0" l="0" r="0" t="0"/>
            <wp:wrapSquare wrapText="bothSides" distB="0" distT="0" distL="0" distR="0"/>
            <wp:docPr id="1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04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20" w:before="220" w:line="429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Explicar que a ênfase é desenvol ver a habilidade ler e escutar e falar.</w:t>
      </w:r>
    </w:p>
    <w:p w:rsidR="00000000" w:rsidDel="00000000" w:rsidP="00000000" w:rsidRDefault="00000000" w:rsidRPr="00000000">
      <w:pPr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20" w:before="220" w:line="429" w:lineRule="auto"/>
        <w:ind w:left="0" w:right="0" w:firstLine="0"/>
        <w:contextualSpacing w:val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rtl w:val="0"/>
        </w:rPr>
        <w:t xml:space="preserve">Figura 9: Módulo Livros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margin">
              <wp:posOffset>0</wp:posOffset>
            </wp:positionH>
            <wp:positionV relativeFrom="paragraph">
              <wp:posOffset>635</wp:posOffset>
            </wp:positionV>
            <wp:extent cx="6120130" cy="3440430"/>
            <wp:effectExtent b="0" l="0" r="0" t="0"/>
            <wp:wrapSquare wrapText="bothSides" distB="0" distT="0" distL="0" distR="0"/>
            <wp:docPr id="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04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20" w:before="220" w:line="429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Quantificar na tela….e dar um exemplo de um….</w:t>
      </w:r>
    </w:p>
    <w:p w:rsidR="00000000" w:rsidDel="00000000" w:rsidP="00000000" w:rsidRDefault="00000000" w:rsidRPr="00000000">
      <w:pPr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20" w:before="220" w:line="429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Dessa análise identificamos os seguintes jogos:</w:t>
      </w:r>
    </w:p>
    <w:p w:rsidR="00000000" w:rsidDel="00000000" w:rsidP="00000000" w:rsidRDefault="00000000" w:rsidRPr="00000000">
      <w:pPr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20" w:before="220" w:line="429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20" w:before="220" w:line="429" w:lineRule="auto"/>
        <w:ind w:left="0" w:right="0" w:firstLine="0"/>
        <w:contextualSpacing w:val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rtl w:val="0"/>
        </w:rPr>
        <w:t xml:space="preserve">O software já conta com a proposta de 19 aulas que possuem várias atividades cada. Ao todo, estas aulas contêm 213 atividades pedagógicas como padrão.</w:t>
      </w:r>
    </w:p>
    <w:sectPr>
      <w:pgSz w:h="16838" w:w="11906"/>
      <w:pgMar w:bottom="1134" w:top="1134" w:left="1134" w:right="1134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Georgia"/>
  <w:font w:name="Times New Roman"/>
  <w:font w:name="Verdana"/>
  <w:font w:name="Liberation Serif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Liberation Serif" w:cs="Liberation Serif" w:eastAsia="Liberation Serif" w:hAnsi="Liberation Serif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  <w:lang w:val="pt-BR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widowControl w:val="1"/>
      <w:spacing w:after="120" w:before="240" w:line="240" w:lineRule="auto"/>
      <w:contextualSpacing w:val="0"/>
    </w:pPr>
    <w:rPr>
      <w:rFonts w:ascii="Liberation Serif" w:cs="Liberation Serif" w:eastAsia="Liberation Serif" w:hAnsi="Liberation Serif"/>
      <w:b w:val="1"/>
      <w:color w:val="000000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widowControl w:val="1"/>
      <w:spacing w:after="120" w:before="200" w:line="240" w:lineRule="auto"/>
      <w:contextualSpacing w:val="0"/>
    </w:pPr>
    <w:rPr>
      <w:rFonts w:ascii="Liberation Serif" w:cs="Liberation Serif" w:eastAsia="Liberation Serif" w:hAnsi="Liberation Serif"/>
      <w:b w:val="1"/>
      <w:color w:val="000000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2.png"/><Relationship Id="rId13" Type="http://schemas.openxmlformats.org/officeDocument/2006/relationships/image" Target="media/image13.png"/><Relationship Id="rId12" Type="http://schemas.openxmlformats.org/officeDocument/2006/relationships/image" Target="media/image2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0.png"/><Relationship Id="rId15" Type="http://schemas.openxmlformats.org/officeDocument/2006/relationships/image" Target="media/image14.png"/><Relationship Id="rId14" Type="http://schemas.openxmlformats.org/officeDocument/2006/relationships/image" Target="media/image9.png"/><Relationship Id="rId17" Type="http://schemas.openxmlformats.org/officeDocument/2006/relationships/image" Target="media/image19.png"/><Relationship Id="rId16" Type="http://schemas.openxmlformats.org/officeDocument/2006/relationships/image" Target="media/image22.png"/><Relationship Id="rId5" Type="http://schemas.openxmlformats.org/officeDocument/2006/relationships/styles" Target="styles.xml"/><Relationship Id="rId6" Type="http://schemas.openxmlformats.org/officeDocument/2006/relationships/image" Target="media/image8.jpg"/><Relationship Id="rId7" Type="http://schemas.openxmlformats.org/officeDocument/2006/relationships/hyperlink" Target="http://luzdosaber.seduc.ce.gov.br/eja/" TargetMode="External"/><Relationship Id="rId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